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0A56" w14:textId="2A2CD65D" w:rsidR="003F5EB5" w:rsidRPr="003A792F" w:rsidRDefault="003F5EB5" w:rsidP="0036798B">
      <w:pPr>
        <w:pStyle w:val="IndentParagraph"/>
        <w:spacing w:line="240" w:lineRule="auto"/>
        <w:ind w:left="0" w:right="-285"/>
        <w:jc w:val="both"/>
        <w:rPr>
          <w:rStyle w:val="normaltextrun"/>
          <w:rFonts w:ascii="Calibri" w:hAnsi="Calibri" w:cs="Calibri"/>
          <w:b/>
          <w:bCs/>
          <w:color w:val="44546A"/>
          <w:shd w:val="clear" w:color="auto" w:fill="FFFFFF"/>
        </w:rPr>
      </w:pPr>
      <w:r w:rsidRPr="003A792F">
        <w:rPr>
          <w:rStyle w:val="normaltextrun"/>
          <w:rFonts w:ascii="Calibri" w:hAnsi="Calibri" w:cs="Calibri"/>
          <w:b/>
          <w:bCs/>
          <w:color w:val="44546A"/>
          <w:shd w:val="clear" w:color="auto" w:fill="FFFFFF"/>
        </w:rPr>
        <w:t xml:space="preserve">University of Southampton Sustainability Strategic Plan: </w:t>
      </w:r>
      <w:r w:rsidR="002842BF" w:rsidRPr="003A792F">
        <w:rPr>
          <w:rStyle w:val="normaltextrun"/>
          <w:rFonts w:ascii="Calibri" w:hAnsi="Calibri" w:cs="Calibri"/>
          <w:b/>
          <w:bCs/>
          <w:color w:val="44546A"/>
          <w:shd w:val="clear" w:color="auto" w:fill="FFFFFF"/>
        </w:rPr>
        <w:t>Reporting Process</w:t>
      </w:r>
      <w:r w:rsidR="00020CA7" w:rsidRPr="003A792F">
        <w:rPr>
          <w:rStyle w:val="normaltextrun"/>
          <w:rFonts w:ascii="Calibri" w:hAnsi="Calibri" w:cs="Calibri"/>
          <w:b/>
          <w:bCs/>
          <w:color w:val="44546A"/>
          <w:shd w:val="clear" w:color="auto" w:fill="FFFFFF"/>
        </w:rPr>
        <w:t>,</w:t>
      </w:r>
      <w:r w:rsidR="002842BF" w:rsidRPr="003A792F">
        <w:rPr>
          <w:rStyle w:val="normaltextrun"/>
          <w:rFonts w:ascii="Calibri" w:hAnsi="Calibri" w:cs="Calibri"/>
          <w:b/>
          <w:bCs/>
          <w:color w:val="44546A"/>
          <w:shd w:val="clear" w:color="auto" w:fill="FFFFFF"/>
        </w:rPr>
        <w:t xml:space="preserve"> </w:t>
      </w:r>
      <w:r w:rsidRPr="003A792F">
        <w:rPr>
          <w:rStyle w:val="normaltextrun"/>
          <w:rFonts w:ascii="Calibri" w:hAnsi="Calibri" w:cs="Calibri"/>
          <w:b/>
          <w:bCs/>
          <w:color w:val="44546A"/>
          <w:shd w:val="clear" w:color="auto" w:fill="FFFFFF"/>
        </w:rPr>
        <w:t xml:space="preserve">Estates &amp; Facilities </w:t>
      </w:r>
      <w:r w:rsidR="00BD7754" w:rsidRPr="003A792F">
        <w:rPr>
          <w:rStyle w:val="normaltextrun"/>
          <w:rFonts w:ascii="Calibri" w:hAnsi="Calibri" w:cs="Calibri"/>
          <w:b/>
          <w:bCs/>
          <w:color w:val="44546A"/>
          <w:shd w:val="clear" w:color="auto" w:fill="FFFFFF"/>
        </w:rPr>
        <w:t>Sustainability Impac</w:t>
      </w:r>
      <w:r w:rsidR="00A936C5" w:rsidRPr="003A792F">
        <w:rPr>
          <w:rStyle w:val="normaltextrun"/>
          <w:rFonts w:ascii="Calibri" w:hAnsi="Calibri" w:cs="Calibri"/>
          <w:b/>
          <w:bCs/>
          <w:color w:val="44546A"/>
          <w:shd w:val="clear" w:color="auto" w:fill="FFFFFF"/>
        </w:rPr>
        <w:t>t Assessment</w:t>
      </w:r>
      <w:r w:rsidR="001F12FD" w:rsidRPr="003A792F">
        <w:rPr>
          <w:rStyle w:val="normaltextrun"/>
          <w:rFonts w:ascii="Calibri" w:hAnsi="Calibri" w:cs="Calibri"/>
          <w:b/>
          <w:bCs/>
          <w:color w:val="44546A"/>
          <w:shd w:val="clear" w:color="auto" w:fill="FFFFFF"/>
        </w:rPr>
        <w:t>s</w:t>
      </w:r>
    </w:p>
    <w:p w14:paraId="6C9AF52D" w14:textId="45E21CD9" w:rsidR="003F5EB5" w:rsidRDefault="005D4580" w:rsidP="0036798B">
      <w:pPr>
        <w:pStyle w:val="IndentParagraph"/>
        <w:spacing w:line="240" w:lineRule="auto"/>
        <w:ind w:left="0" w:right="-285"/>
        <w:jc w:val="both"/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To support </w:t>
      </w:r>
      <w:r w:rsidR="001A245E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our reporting against </w:t>
      </w:r>
      <w:r w:rsidR="00E9485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the 6 goals set out in the University </w:t>
      </w:r>
      <w:hyperlink r:id="rId7" w:history="1">
        <w:r w:rsidR="00E94854" w:rsidRPr="00AB736C">
          <w:rPr>
            <w:rStyle w:val="Hyperlink"/>
            <w:rFonts w:ascii="Calibri" w:hAnsi="Calibri" w:cs="Calibri"/>
            <w:sz w:val="20"/>
            <w:szCs w:val="20"/>
            <w:shd w:val="clear" w:color="auto" w:fill="FFFFFF"/>
          </w:rPr>
          <w:t>Sustainability Strategic Plan</w:t>
        </w:r>
      </w:hyperlink>
      <w:r w:rsidR="00CF1F9B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, the following </w:t>
      </w:r>
      <w:r w:rsidR="001F12FD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process has been established</w:t>
      </w:r>
      <w:r w:rsidR="00D51EB9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:</w:t>
      </w:r>
    </w:p>
    <w:p w14:paraId="6CB45612" w14:textId="156C8D7D" w:rsidR="000A7888" w:rsidRPr="004D2DE4" w:rsidRDefault="0053730A" w:rsidP="0036798B">
      <w:pPr>
        <w:pStyle w:val="IndentParagraph"/>
        <w:numPr>
          <w:ilvl w:val="0"/>
          <w:numId w:val="1"/>
        </w:numPr>
        <w:spacing w:line="240" w:lineRule="auto"/>
        <w:ind w:right="-285"/>
        <w:jc w:val="both"/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</w:pPr>
      <w:r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All </w:t>
      </w:r>
      <w:r w:rsidR="00A33331"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E</w:t>
      </w:r>
      <w:r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states &amp; </w:t>
      </w:r>
      <w:r w:rsidR="00A33331"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F</w:t>
      </w:r>
      <w:r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acilities </w:t>
      </w:r>
      <w:r w:rsidR="00723D06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(E&amp;F) </w:t>
      </w:r>
      <w:r w:rsidR="00F117B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construction, maintenance and refurbishment </w:t>
      </w:r>
      <w:r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projects are expected to apply the </w:t>
      </w:r>
      <w:hyperlink r:id="rId8" w:history="1">
        <w:r w:rsidRPr="00AF64CB">
          <w:rPr>
            <w:rStyle w:val="Hyperlink"/>
            <w:rFonts w:ascii="Calibri" w:hAnsi="Calibri" w:cs="Calibri"/>
            <w:sz w:val="20"/>
            <w:szCs w:val="20"/>
            <w:shd w:val="clear" w:color="auto" w:fill="FFFFFF"/>
          </w:rPr>
          <w:t>Sustainable Building Design Standard</w:t>
        </w:r>
      </w:hyperlink>
      <w:r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, (approved </w:t>
      </w:r>
      <w:r w:rsidR="003A792F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at</w:t>
      </w:r>
      <w:r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 EPB September 2023)</w:t>
      </w:r>
      <w:r w:rsidR="000B4F33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 and undertake </w:t>
      </w:r>
      <w:r w:rsidR="00E526EA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sustainability </w:t>
      </w:r>
      <w:r w:rsidR="000B4F33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reporting </w:t>
      </w:r>
      <w:r w:rsidR="00AA5AE2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as set out </w:t>
      </w:r>
      <w:r w:rsidR="000B4F33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through the project </w:t>
      </w:r>
      <w:r w:rsidR="00E526EA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cycle</w:t>
      </w:r>
      <w:r w:rsidR="00AA5AE2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,</w:t>
      </w:r>
      <w:r w:rsidR="00E526EA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 depend</w:t>
      </w:r>
      <w:r w:rsidR="00F16876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e</w:t>
      </w:r>
      <w:r w:rsidR="00E526EA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nt on scale and scope</w:t>
      </w:r>
      <w:r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. </w:t>
      </w:r>
    </w:p>
    <w:p w14:paraId="5D6AF164" w14:textId="3179EB85" w:rsidR="0053730A" w:rsidRPr="004D2DE4" w:rsidRDefault="00710280" w:rsidP="0036798B">
      <w:pPr>
        <w:pStyle w:val="IndentParagraph"/>
        <w:numPr>
          <w:ilvl w:val="0"/>
          <w:numId w:val="1"/>
        </w:numPr>
        <w:spacing w:line="240" w:lineRule="auto"/>
        <w:ind w:right="-285"/>
        <w:jc w:val="both"/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The</w:t>
      </w:r>
      <w:r w:rsidR="002E0F29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 </w:t>
      </w:r>
      <w:r w:rsidR="00C94F2C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Standard</w:t>
      </w:r>
      <w:r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 mandates</w:t>
      </w:r>
      <w:r w:rsidR="00C94F2C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 a</w:t>
      </w:r>
      <w:r w:rsidR="0053730A"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 Sustainability Impact Assessment</w:t>
      </w:r>
      <w:r w:rsidR="00390AE5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, which</w:t>
      </w:r>
      <w:r w:rsidR="0053730A"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 is now a mandatory reporting field for </w:t>
      </w:r>
      <w:r w:rsidR="003A2B31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all</w:t>
      </w:r>
      <w:r w:rsidR="0053730A"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 projects report</w:t>
      </w:r>
      <w:r w:rsidR="00593AA3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ed </w:t>
      </w:r>
      <w:r w:rsidR="0053730A"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through </w:t>
      </w:r>
      <w:proofErr w:type="spellStart"/>
      <w:r w:rsidR="0053730A"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PlanOn</w:t>
      </w:r>
      <w:proofErr w:type="spellEnd"/>
      <w:r w:rsidR="0053730A"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. The reporting matrix for this assessment is set out in Table 1, which will be collated and reported as a </w:t>
      </w:r>
      <w:r w:rsidR="00BC59CC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key </w:t>
      </w:r>
      <w:r w:rsidR="0053730A"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sustainability KPI at E</w:t>
      </w:r>
      <w:r w:rsidR="00723D06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&amp;F</w:t>
      </w:r>
      <w:r w:rsidR="0053730A"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 Leadership Board meetings and Sustainability Implementation Group meetings (both monthly).</w:t>
      </w:r>
      <w:r w:rsidR="003903B6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 </w:t>
      </w:r>
      <w:r w:rsidR="00726E5D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All projects submitted to EPB will be expected to present this assessment</w:t>
      </w:r>
      <w:r w:rsidR="006B610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, which </w:t>
      </w:r>
      <w:r w:rsidR="006D46CF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should also </w:t>
      </w:r>
      <w:r w:rsidR="006B610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be used to compare </w:t>
      </w:r>
      <w:r w:rsidR="006D46CF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sustainability impact in options appraisal</w:t>
      </w:r>
      <w:r w:rsidR="004F65B8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s</w:t>
      </w:r>
      <w:r w:rsidR="006D46CF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.</w:t>
      </w:r>
    </w:p>
    <w:p w14:paraId="7A549107" w14:textId="77777777" w:rsidR="00A7222E" w:rsidRDefault="00A33331" w:rsidP="00A7222E">
      <w:pPr>
        <w:pStyle w:val="IndentParagraph"/>
        <w:numPr>
          <w:ilvl w:val="0"/>
          <w:numId w:val="1"/>
        </w:numPr>
        <w:spacing w:line="240" w:lineRule="auto"/>
        <w:ind w:right="-285"/>
        <w:jc w:val="both"/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</w:pPr>
      <w:r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Capital Projects and projects of higher value (such as strategic building acquisitions) may not be reported within </w:t>
      </w:r>
      <w:proofErr w:type="spellStart"/>
      <w:r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PlanOn</w:t>
      </w:r>
      <w:proofErr w:type="spellEnd"/>
      <w:r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 but are expected to complete the impact assessment</w:t>
      </w:r>
      <w:r w:rsidR="00BC59CC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,</w:t>
      </w:r>
      <w:r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 </w:t>
      </w:r>
      <w:r w:rsidR="00BB1FFE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including</w:t>
      </w:r>
      <w:r w:rsidRPr="004D2DE4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 a quantified assessment for Scope 1, 2 and 3 emissions (Goal 1 and Goal 2)</w:t>
      </w:r>
      <w:r w:rsidR="006B2039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, and report at E&amp;F Leadership Board meetings prior to sub</w:t>
      </w:r>
      <w:r w:rsidR="00263957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mission to EPB.</w:t>
      </w:r>
    </w:p>
    <w:p w14:paraId="4BD6B856" w14:textId="77777777" w:rsidR="00EC5CAF" w:rsidRPr="00EC5CAF" w:rsidRDefault="00A33331" w:rsidP="00A7222E">
      <w:pPr>
        <w:pStyle w:val="IndentParagraph"/>
        <w:numPr>
          <w:ilvl w:val="0"/>
          <w:numId w:val="1"/>
        </w:numPr>
        <w:spacing w:line="240" w:lineRule="auto"/>
        <w:ind w:right="-285"/>
        <w:jc w:val="both"/>
        <w:rPr>
          <w:rFonts w:ascii="Calibri" w:hAnsi="Calibri" w:cs="Calibri"/>
          <w:color w:val="44546A"/>
          <w:sz w:val="20"/>
          <w:szCs w:val="20"/>
          <w:shd w:val="clear" w:color="auto" w:fill="FFFFFF"/>
        </w:rPr>
      </w:pPr>
      <w:r w:rsidRPr="00A7222E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Although outside of the direct scope of Estates &amp; Facilities, it is expected that all residential projects also report against this matrix.</w:t>
      </w:r>
      <w:r w:rsidR="00A7222E" w:rsidRPr="00A7222E"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  <w:t xml:space="preserve"> </w:t>
      </w:r>
    </w:p>
    <w:p w14:paraId="6DEC7DF3" w14:textId="0A9A4861" w:rsidR="00A7222E" w:rsidRPr="00EC5CAF" w:rsidRDefault="00A7222E" w:rsidP="00A7222E">
      <w:pPr>
        <w:pStyle w:val="IndentParagraph"/>
        <w:numPr>
          <w:ilvl w:val="0"/>
          <w:numId w:val="1"/>
        </w:numPr>
        <w:spacing w:line="240" w:lineRule="auto"/>
        <w:ind w:right="-285"/>
        <w:jc w:val="both"/>
        <w:rPr>
          <w:rFonts w:ascii="Calibri" w:hAnsi="Calibri" w:cs="Calibri"/>
          <w:color w:val="44546A"/>
          <w:sz w:val="20"/>
          <w:szCs w:val="20"/>
          <w:shd w:val="clear" w:color="auto" w:fill="FFFFFF"/>
        </w:rPr>
      </w:pPr>
      <w:r w:rsidRPr="00EC5CAF"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  <w:t>For Goal 1, 2 and 3, ‘significant’ i</w:t>
      </w:r>
      <w:r w:rsidR="009805C1" w:rsidRPr="00EC5CAF"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  <w:t>mpact i</w:t>
      </w:r>
      <w:r w:rsidRPr="00EC5CAF"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  <w:t xml:space="preserve">s quantified as greater than 5% (either positive or negative) </w:t>
      </w:r>
      <w:r w:rsidR="009805C1" w:rsidRPr="00EC5CAF"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  <w:t>based on</w:t>
      </w:r>
      <w:r w:rsidRPr="00EC5CAF"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  <w:t xml:space="preserve"> the most recently reported University level emission </w:t>
      </w:r>
      <w:r w:rsidR="00F15D7A" w:rsidRPr="00EC5CAF"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  <w:t>thresholds</w:t>
      </w:r>
      <w:r w:rsidR="00556B96"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  <w:t>:</w:t>
      </w:r>
    </w:p>
    <w:p w14:paraId="5F9C4C8E" w14:textId="77777777" w:rsidR="00582705" w:rsidRPr="00F15D7A" w:rsidRDefault="00582705" w:rsidP="00EC5CAF">
      <w:pPr>
        <w:pStyle w:val="ListParagraph"/>
        <w:numPr>
          <w:ilvl w:val="0"/>
          <w:numId w:val="8"/>
        </w:numP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</w:pPr>
      <w:r w:rsidRPr="00F15D7A">
        <w:rPr>
          <w:rFonts w:ascii="Calibri" w:eastAsia="Times New Roman" w:hAnsi="Calibri" w:cs="Calibri"/>
          <w:color w:val="44546A" w:themeColor="text2"/>
          <w:sz w:val="20"/>
          <w:szCs w:val="20"/>
          <w:shd w:val="clear" w:color="auto" w:fill="FFFFFF"/>
          <w:lang w:eastAsia="en-GB"/>
        </w:rPr>
        <w:t>Goal 1: Scope 1 &amp; 2 – 5% of 2021/22 emissions = 1,130 T CO2e (Using published HESA values – electricity treated as average grid import not 100% renewable via REGO)</w:t>
      </w:r>
      <w:r w:rsidRPr="00F15D7A"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  <w:t> </w:t>
      </w:r>
    </w:p>
    <w:p w14:paraId="0A31C49F" w14:textId="77777777" w:rsidR="00582705" w:rsidRPr="00F15D7A" w:rsidRDefault="00582705" w:rsidP="00EC5CAF">
      <w:pPr>
        <w:pStyle w:val="ListParagraph"/>
        <w:numPr>
          <w:ilvl w:val="0"/>
          <w:numId w:val="8"/>
        </w:numP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</w:pPr>
      <w:r w:rsidRPr="00F15D7A">
        <w:rPr>
          <w:rFonts w:ascii="Calibri" w:eastAsia="Times New Roman" w:hAnsi="Calibri" w:cs="Calibri"/>
          <w:color w:val="44546A" w:themeColor="text2"/>
          <w:sz w:val="20"/>
          <w:szCs w:val="20"/>
          <w:shd w:val="clear" w:color="auto" w:fill="FFFFFF"/>
          <w:lang w:eastAsia="en-GB"/>
        </w:rPr>
        <w:t>Goal 2: Scope 3 - 5% of 2021/22 emissions = 6,060 T CO2e (SIG estimates)</w:t>
      </w:r>
      <w:r w:rsidRPr="00F15D7A"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  <w:t> </w:t>
      </w:r>
    </w:p>
    <w:p w14:paraId="3250C3DB" w14:textId="77777777" w:rsidR="00582705" w:rsidRDefault="00582705" w:rsidP="00EC5CAF">
      <w:pPr>
        <w:pStyle w:val="ListParagraph"/>
        <w:numPr>
          <w:ilvl w:val="0"/>
          <w:numId w:val="8"/>
        </w:numP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</w:pPr>
      <w:r w:rsidRPr="00F15D7A">
        <w:rPr>
          <w:rFonts w:ascii="Calibri" w:eastAsia="Times New Roman" w:hAnsi="Calibri" w:cs="Calibri"/>
          <w:color w:val="44546A" w:themeColor="text2"/>
          <w:sz w:val="20"/>
          <w:szCs w:val="20"/>
          <w:shd w:val="clear" w:color="auto" w:fill="FFFFFF"/>
          <w:lang w:eastAsia="en-GB"/>
        </w:rPr>
        <w:t>Goal 3: Scope 3 Business Travel – 5% of 2021/22 emissions = 100 T CO2e (SIG estimates)</w:t>
      </w:r>
      <w:r w:rsidRPr="00F15D7A"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  <w:t> </w:t>
      </w:r>
    </w:p>
    <w:p w14:paraId="207A76BD" w14:textId="77777777" w:rsidR="00384D59" w:rsidRDefault="00384D59" w:rsidP="00384D59">
      <w:pP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</w:pPr>
    </w:p>
    <w:p w14:paraId="56F00B43" w14:textId="1F4B2295" w:rsidR="00384D59" w:rsidRPr="00EC5CAF" w:rsidRDefault="00384D59" w:rsidP="00EC5CAF">
      <w:pPr>
        <w:pStyle w:val="ListParagraph"/>
        <w:numPr>
          <w:ilvl w:val="0"/>
          <w:numId w:val="10"/>
        </w:numP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</w:pPr>
      <w:r w:rsidRPr="00EC5CAF"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  <w:t>Assessment for Goal 4, 5 and 6 is qualitative, and may not be applicable for all E&amp;F projects.</w:t>
      </w:r>
    </w:p>
    <w:p w14:paraId="4C8F466C" w14:textId="77777777" w:rsidR="007518E9" w:rsidRDefault="007518E9" w:rsidP="00221343">
      <w:pP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</w:pPr>
    </w:p>
    <w:p w14:paraId="4337D5DE" w14:textId="2F8D7248" w:rsidR="00582705" w:rsidRPr="001B00AF" w:rsidRDefault="00582705" w:rsidP="007A0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0" w:after="0" w:line="240" w:lineRule="auto"/>
        <w:jc w:val="both"/>
        <w:textAlignment w:val="baseline"/>
        <w:rPr>
          <w:rFonts w:ascii="Segoe UI" w:eastAsia="Times New Roman" w:hAnsi="Segoe UI" w:cs="Segoe UI"/>
          <w:color w:val="44546A" w:themeColor="text2"/>
          <w:sz w:val="18"/>
          <w:szCs w:val="18"/>
          <w:lang w:eastAsia="en-GB"/>
        </w:rPr>
      </w:pPr>
      <w:r w:rsidRPr="001B00AF">
        <w:rPr>
          <w:rFonts w:ascii="Calibri" w:eastAsia="Times New Roman" w:hAnsi="Calibri" w:cs="Calibri"/>
          <w:color w:val="44546A" w:themeColor="text2"/>
          <w:sz w:val="20"/>
          <w:szCs w:val="20"/>
          <w:lang w:eastAsia="en-GB"/>
        </w:rPr>
        <w:t> </w:t>
      </w:r>
      <w:r w:rsidRPr="001B00AF">
        <w:rPr>
          <w:rFonts w:ascii="Calibri" w:eastAsia="Times New Roman" w:hAnsi="Calibri" w:cs="Calibri"/>
          <w:b/>
          <w:bCs/>
          <w:color w:val="44546A" w:themeColor="text2"/>
          <w:sz w:val="18"/>
          <w:szCs w:val="18"/>
          <w:lang w:eastAsia="en-GB"/>
        </w:rPr>
        <w:t>Scope 1 emissions are those produced by fuel combustion on site</w:t>
      </w:r>
      <w:r w:rsidRPr="001B00AF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 xml:space="preserve"> such as gas boilers, fleet vehicles and air-conditioning leaks. In the case of the University this covers: </w:t>
      </w:r>
    </w:p>
    <w:p w14:paraId="501479CB" w14:textId="77777777" w:rsidR="00582705" w:rsidRPr="00D04594" w:rsidRDefault="00582705" w:rsidP="007A0801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</w:pPr>
      <w:r w:rsidRPr="00D04594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>Combustion of natural gas for heat and hot water, and for the on-site generation of electricity via the University’s combined heat and power (CHP) plant(s) </w:t>
      </w:r>
    </w:p>
    <w:p w14:paraId="3C9139E9" w14:textId="77777777" w:rsidR="00582705" w:rsidRPr="00D04594" w:rsidRDefault="00582705" w:rsidP="007A0801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</w:pPr>
      <w:r w:rsidRPr="00D04594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>Physical or chemical processing (</w:t>
      </w:r>
      <w:proofErr w:type="spellStart"/>
      <w:r w:rsidRPr="00D04594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>e.g</w:t>
      </w:r>
      <w:proofErr w:type="spellEnd"/>
      <w:r w:rsidRPr="00D04594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 xml:space="preserve"> in laboratories) </w:t>
      </w:r>
    </w:p>
    <w:p w14:paraId="2A677F54" w14:textId="77777777" w:rsidR="00582705" w:rsidRPr="00D04594" w:rsidRDefault="00582705" w:rsidP="007A0801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</w:pPr>
      <w:r w:rsidRPr="00D04594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>Fleet vehicle fuel </w:t>
      </w:r>
    </w:p>
    <w:p w14:paraId="5F8C91A1" w14:textId="26D26CC9" w:rsidR="00582705" w:rsidRPr="00D04594" w:rsidRDefault="00582705" w:rsidP="007A0801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</w:pPr>
      <w:r w:rsidRPr="00D04594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 xml:space="preserve">Fugitive emissions such as equipment leaks, HFC (refrigerant) release and gas network </w:t>
      </w:r>
      <w:proofErr w:type="gramStart"/>
      <w:r w:rsidRPr="00D04594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>leaks</w:t>
      </w:r>
      <w:proofErr w:type="gramEnd"/>
      <w:r w:rsidRPr="00D04594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> </w:t>
      </w:r>
    </w:p>
    <w:p w14:paraId="52CE8E99" w14:textId="77777777" w:rsidR="00114A64" w:rsidRPr="00D04594" w:rsidRDefault="00114A64" w:rsidP="007A0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0" w:after="0" w:line="240" w:lineRule="auto"/>
        <w:ind w:left="270" w:hanging="270"/>
        <w:jc w:val="both"/>
        <w:textAlignment w:val="baseline"/>
        <w:rPr>
          <w:rFonts w:ascii="Calibri" w:eastAsia="Times New Roman" w:hAnsi="Calibri" w:cs="Calibri"/>
          <w:b/>
          <w:bCs/>
          <w:color w:val="44546A" w:themeColor="text2"/>
          <w:sz w:val="18"/>
          <w:szCs w:val="18"/>
          <w:lang w:eastAsia="en-GB"/>
        </w:rPr>
      </w:pPr>
    </w:p>
    <w:p w14:paraId="2EBBBEB5" w14:textId="2E5D77ED" w:rsidR="00582705" w:rsidRPr="001B00AF" w:rsidRDefault="00582705" w:rsidP="007A0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0" w:after="0" w:line="240" w:lineRule="auto"/>
        <w:ind w:left="270" w:hanging="270"/>
        <w:jc w:val="both"/>
        <w:textAlignment w:val="baseline"/>
        <w:rPr>
          <w:rFonts w:ascii="Segoe UI" w:eastAsia="Times New Roman" w:hAnsi="Segoe UI" w:cs="Segoe UI"/>
          <w:color w:val="44546A" w:themeColor="text2"/>
          <w:sz w:val="18"/>
          <w:szCs w:val="18"/>
          <w:lang w:eastAsia="en-GB"/>
        </w:rPr>
      </w:pPr>
      <w:r w:rsidRPr="001B00AF">
        <w:rPr>
          <w:rFonts w:ascii="Calibri" w:eastAsia="Times New Roman" w:hAnsi="Calibri" w:cs="Calibri"/>
          <w:b/>
          <w:bCs/>
          <w:color w:val="44546A" w:themeColor="text2"/>
          <w:sz w:val="18"/>
          <w:szCs w:val="18"/>
          <w:lang w:eastAsia="en-GB"/>
        </w:rPr>
        <w:t xml:space="preserve">Scope 2 emissions are those from purchased or acquired electricity, steam, </w:t>
      </w:r>
      <w:proofErr w:type="gramStart"/>
      <w:r w:rsidRPr="001B00AF">
        <w:rPr>
          <w:rFonts w:ascii="Calibri" w:eastAsia="Times New Roman" w:hAnsi="Calibri" w:cs="Calibri"/>
          <w:b/>
          <w:bCs/>
          <w:color w:val="44546A" w:themeColor="text2"/>
          <w:sz w:val="18"/>
          <w:szCs w:val="18"/>
          <w:lang w:eastAsia="en-GB"/>
        </w:rPr>
        <w:t>heat</w:t>
      </w:r>
      <w:proofErr w:type="gramEnd"/>
      <w:r w:rsidRPr="001B00AF">
        <w:rPr>
          <w:rFonts w:ascii="Calibri" w:eastAsia="Times New Roman" w:hAnsi="Calibri" w:cs="Calibri"/>
          <w:b/>
          <w:bCs/>
          <w:color w:val="44546A" w:themeColor="text2"/>
          <w:sz w:val="18"/>
          <w:szCs w:val="18"/>
          <w:lang w:eastAsia="en-GB"/>
        </w:rPr>
        <w:t xml:space="preserve"> and cooling. </w:t>
      </w:r>
      <w:r w:rsidRPr="001B00AF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>In the case of the University this covers: </w:t>
      </w:r>
    </w:p>
    <w:p w14:paraId="738FEAD6" w14:textId="77777777" w:rsidR="00582705" w:rsidRPr="00D04594" w:rsidRDefault="00582705" w:rsidP="007A080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</w:pPr>
      <w:r w:rsidRPr="00D04594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>Purchase of electricity from the grid </w:t>
      </w:r>
    </w:p>
    <w:p w14:paraId="7330FFB6" w14:textId="77777777" w:rsidR="00582705" w:rsidRPr="00D04594" w:rsidRDefault="00582705" w:rsidP="007A080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</w:pPr>
      <w:r w:rsidRPr="00D04594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>Purchase of steam and hot water </w:t>
      </w:r>
    </w:p>
    <w:p w14:paraId="3A0EBC67" w14:textId="77777777" w:rsidR="00114A64" w:rsidRPr="00D04594" w:rsidRDefault="00114A64" w:rsidP="007A0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44546A" w:themeColor="text2"/>
          <w:sz w:val="18"/>
          <w:szCs w:val="18"/>
          <w:lang w:eastAsia="en-GB"/>
        </w:rPr>
      </w:pPr>
    </w:p>
    <w:p w14:paraId="50641159" w14:textId="594152B5" w:rsidR="00582705" w:rsidRPr="001B00AF" w:rsidRDefault="00582705" w:rsidP="007A0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0" w:after="0" w:line="240" w:lineRule="auto"/>
        <w:jc w:val="both"/>
        <w:textAlignment w:val="baseline"/>
        <w:rPr>
          <w:rFonts w:ascii="Segoe UI" w:eastAsia="Times New Roman" w:hAnsi="Segoe UI" w:cs="Segoe UI"/>
          <w:color w:val="44546A" w:themeColor="text2"/>
          <w:sz w:val="18"/>
          <w:szCs w:val="18"/>
          <w:lang w:eastAsia="en-GB"/>
        </w:rPr>
      </w:pPr>
      <w:r w:rsidRPr="001B00AF">
        <w:rPr>
          <w:rFonts w:ascii="Calibri" w:eastAsia="Times New Roman" w:hAnsi="Calibri" w:cs="Calibri"/>
          <w:b/>
          <w:bCs/>
          <w:color w:val="44546A" w:themeColor="text2"/>
          <w:sz w:val="18"/>
          <w:szCs w:val="18"/>
          <w:lang w:eastAsia="en-GB"/>
        </w:rPr>
        <w:t>Scope 3 emissions are indirect emissions that derive from activities of the organisation from sources that they do not own or control</w:t>
      </w:r>
      <w:r w:rsidRPr="001B00AF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>. These are usually the greatest</w:t>
      </w:r>
      <w:r w:rsidR="00EA612E" w:rsidRPr="00D04594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 xml:space="preserve"> </w:t>
      </w:r>
      <w:r w:rsidRPr="001B00AF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>share of the carbon footprint, covering emissions associated with business travel, staff commuting, procurement (</w:t>
      </w:r>
      <w:proofErr w:type="gramStart"/>
      <w:r w:rsidRPr="001B00AF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>i.e.</w:t>
      </w:r>
      <w:proofErr w:type="gramEnd"/>
      <w:r w:rsidRPr="001B00AF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 xml:space="preserve"> supply chain), logistics, waste and water. Emissions are reported as CO</w:t>
      </w:r>
      <w:r w:rsidRPr="001B00AF">
        <w:rPr>
          <w:rFonts w:ascii="Calibri" w:eastAsia="Times New Roman" w:hAnsi="Calibri" w:cs="Calibri"/>
          <w:color w:val="44546A" w:themeColor="text2"/>
          <w:sz w:val="18"/>
          <w:szCs w:val="18"/>
          <w:vertAlign w:val="subscript"/>
          <w:lang w:eastAsia="en-GB"/>
        </w:rPr>
        <w:t>2</w:t>
      </w:r>
      <w:r w:rsidRPr="001B00AF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>e (Carbon dioxide equivalent units) to enable the full range of warming potentials from all emitted gases to be captured. This means that reporting needs to include non-CO</w:t>
      </w:r>
      <w:r w:rsidRPr="001B00AF">
        <w:rPr>
          <w:rFonts w:ascii="Calibri" w:eastAsia="Times New Roman" w:hAnsi="Calibri" w:cs="Calibri"/>
          <w:color w:val="44546A" w:themeColor="text2"/>
          <w:sz w:val="18"/>
          <w:szCs w:val="18"/>
          <w:vertAlign w:val="subscript"/>
          <w:lang w:eastAsia="en-GB"/>
        </w:rPr>
        <w:t>2</w:t>
      </w:r>
      <w:r w:rsidRPr="001B00AF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 xml:space="preserve"> emissions where relevant (</w:t>
      </w:r>
      <w:proofErr w:type="gramStart"/>
      <w:r w:rsidRPr="001B00AF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>e.g.</w:t>
      </w:r>
      <w:proofErr w:type="gramEnd"/>
      <w:r w:rsidRPr="001B00AF">
        <w:rPr>
          <w:rFonts w:ascii="Calibri" w:eastAsia="Times New Roman" w:hAnsi="Calibri" w:cs="Calibri"/>
          <w:color w:val="44546A" w:themeColor="text2"/>
          <w:sz w:val="18"/>
          <w:szCs w:val="18"/>
          <w:lang w:eastAsia="en-GB"/>
        </w:rPr>
        <w:t xml:space="preserve"> refrigerant leaks) </w:t>
      </w:r>
    </w:p>
    <w:p w14:paraId="392A4BF4" w14:textId="77777777" w:rsidR="00A7222E" w:rsidRDefault="00A7222E" w:rsidP="004D784C">
      <w:pPr>
        <w:pStyle w:val="IndentParagraph"/>
        <w:spacing w:line="240" w:lineRule="auto"/>
        <w:ind w:left="0" w:right="-285"/>
        <w:jc w:val="center"/>
        <w:rPr>
          <w:rStyle w:val="normaltextrun"/>
          <w:rFonts w:ascii="Calibri" w:hAnsi="Calibri" w:cs="Calibri"/>
          <w:i/>
          <w:iCs/>
          <w:color w:val="44546A"/>
          <w:sz w:val="18"/>
          <w:szCs w:val="18"/>
          <w:shd w:val="clear" w:color="auto" w:fill="FFFFFF"/>
        </w:rPr>
      </w:pPr>
    </w:p>
    <w:p w14:paraId="1CD12227" w14:textId="658C7A92" w:rsidR="003F5EB5" w:rsidRPr="00E716C7" w:rsidRDefault="003F5EB5" w:rsidP="004D784C">
      <w:pPr>
        <w:pStyle w:val="IndentParagraph"/>
        <w:spacing w:line="240" w:lineRule="auto"/>
        <w:ind w:left="0" w:right="-285"/>
        <w:jc w:val="center"/>
        <w:rPr>
          <w:sz w:val="18"/>
          <w:szCs w:val="18"/>
        </w:rPr>
      </w:pPr>
      <w:r w:rsidRPr="00E716C7">
        <w:rPr>
          <w:rStyle w:val="normaltextrun"/>
          <w:rFonts w:ascii="Calibri" w:hAnsi="Calibri" w:cs="Calibri"/>
          <w:i/>
          <w:iCs/>
          <w:color w:val="44546A"/>
          <w:sz w:val="18"/>
          <w:szCs w:val="18"/>
          <w:shd w:val="clear" w:color="auto" w:fill="FFFFFF"/>
        </w:rPr>
        <w:t>Table 1: Sustainability Strategic Plan Goal Impact Assessment Summary (example)</w:t>
      </w:r>
      <w:r w:rsidRPr="00E716C7">
        <w:rPr>
          <w:sz w:val="18"/>
          <w:szCs w:val="18"/>
        </w:rPr>
        <w:t>:</w:t>
      </w:r>
    </w:p>
    <w:tbl>
      <w:tblPr>
        <w:tblW w:w="14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976"/>
        <w:gridCol w:w="1001"/>
        <w:gridCol w:w="881"/>
        <w:gridCol w:w="1001"/>
        <w:gridCol w:w="1023"/>
        <w:gridCol w:w="7381"/>
      </w:tblGrid>
      <w:tr w:rsidR="003F5EB5" w:rsidRPr="00E47067" w14:paraId="16199962" w14:textId="77777777" w:rsidTr="00E4201E">
        <w:trPr>
          <w:trHeight w:val="263"/>
        </w:trPr>
        <w:tc>
          <w:tcPr>
            <w:tcW w:w="141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E17E785" w14:textId="77777777" w:rsidR="003F5EB5" w:rsidRPr="00811E2E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00811E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Summary of Qualitative Impacts (example RAG)</w:t>
            </w:r>
          </w:p>
        </w:tc>
      </w:tr>
      <w:tr w:rsidR="003F5EB5" w:rsidRPr="00E47067" w14:paraId="4E83A618" w14:textId="77777777" w:rsidTr="00E4201E">
        <w:trPr>
          <w:trHeight w:val="526"/>
        </w:trPr>
        <w:tc>
          <w:tcPr>
            <w:tcW w:w="19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F1E03B0" w14:textId="49B91692" w:rsidR="003F5EB5" w:rsidRDefault="003F5EB5" w:rsidP="00487E73">
            <w:pPr>
              <w:spacing w:before="0"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Sustainability Strategic</w:t>
            </w:r>
          </w:p>
          <w:p w14:paraId="6D8074E4" w14:textId="77777777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Plan Goals: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  <w:hideMark/>
          </w:tcPr>
          <w:p w14:paraId="741135B4" w14:textId="5CA3BDD2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1: Significant Positive Impact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center"/>
            <w:hideMark/>
          </w:tcPr>
          <w:p w14:paraId="5346235D" w14:textId="10B618E1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2: Moderate Positive Impact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4C7930E" w14:textId="34E51F52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3: No Impact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  <w:hideMark/>
          </w:tcPr>
          <w:p w14:paraId="37616BFC" w14:textId="54EF4D60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4: Moderate Negative Impact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2F786B9A" w14:textId="7B784BBD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5: Significant Negative Impact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9C4D09B" w14:textId="50FE9921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Explanation (examples)</w:t>
            </w:r>
          </w:p>
        </w:tc>
      </w:tr>
      <w:tr w:rsidR="003F5EB5" w:rsidRPr="00E47067" w14:paraId="05FA6712" w14:textId="77777777" w:rsidTr="00E4201E">
        <w:trPr>
          <w:trHeight w:val="488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87D41E" w14:textId="52457069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Goal 1: Scope 1 &amp; 2 emissions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14E13DDF" w14:textId="4CF65BCA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0F459E" w14:textId="222C2096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 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EE7B52" w14:textId="11EAE9EB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 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FD9FC0" w14:textId="7C1CA486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 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E673F9" w14:textId="71E0A5CF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 </w:t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BEE86" w14:textId="5245DD3A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Will significantly reduce Scope 1 emissions due to XXX</w:t>
            </w:r>
          </w:p>
        </w:tc>
      </w:tr>
      <w:tr w:rsidR="003F5EB5" w:rsidRPr="00E47067" w14:paraId="759745DC" w14:textId="77777777" w:rsidTr="00E4201E">
        <w:trPr>
          <w:trHeight w:val="488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50CF97" w14:textId="5D44CA9E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Goal 2: Scope 3 emissions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38BA96" w14:textId="331DF35B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  <w:hideMark/>
          </w:tcPr>
          <w:p w14:paraId="185AC12B" w14:textId="1F0DA960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15CB2" w14:textId="6A278E01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3DFCD7" w14:textId="0A7FBD2B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19BEC3" w14:textId="6188D750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82605" w14:textId="59B8F6D8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Will reduce Scope 3 supply chain emissions due to XXX</w:t>
            </w:r>
          </w:p>
        </w:tc>
      </w:tr>
      <w:tr w:rsidR="003F5EB5" w:rsidRPr="00E47067" w14:paraId="15D8EE9F" w14:textId="77777777" w:rsidTr="00E4201E">
        <w:trPr>
          <w:trHeight w:val="488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600407" w14:textId="27E2B40E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Goal 3: Scope 3 business travel emissions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876B2A" w14:textId="3F225307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27164D" w14:textId="22D81A7F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8F8554" w14:textId="577D43A4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DFABD01" w14:textId="7B98CBAF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31D93C" w14:textId="2FCAE200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78EA9" w14:textId="154CE35C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May increase Scope 3 staff business travel emissions due to XXX</w:t>
            </w:r>
          </w:p>
        </w:tc>
      </w:tr>
      <w:tr w:rsidR="003F5EB5" w:rsidRPr="00E47067" w14:paraId="642F5AF3" w14:textId="77777777" w:rsidTr="00E4201E">
        <w:trPr>
          <w:trHeight w:val="488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46FBBD" w14:textId="41BAED3B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Goal 4: Education programmes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4616B" w14:textId="3B2BBBBD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  <w:hideMark/>
          </w:tcPr>
          <w:p w14:paraId="288A24F5" w14:textId="17CE0A32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B891BC" w14:textId="5669CD0C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BBC51F" w14:textId="33EC17A2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85F85A" w14:textId="03536644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5501D" w14:textId="3186EBF6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Will enhance sustainability curriculum development via XXX</w:t>
            </w:r>
          </w:p>
        </w:tc>
      </w:tr>
      <w:tr w:rsidR="003F5EB5" w:rsidRPr="00E47067" w14:paraId="7381074C" w14:textId="77777777" w:rsidTr="00E4201E">
        <w:trPr>
          <w:trHeight w:val="488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C10435" w14:textId="20170B1F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Goal 5: Research and societal impact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CB1643" w14:textId="2F126B12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1B3E0" w14:textId="70A25DF7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FE604E" w14:textId="1FFBB110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C17890" w14:textId="15C46EAF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3AF943" w14:textId="2BD6E812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96E15" w14:textId="6E91D2BA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Not applicable</w:t>
            </w:r>
          </w:p>
        </w:tc>
      </w:tr>
      <w:tr w:rsidR="003F5EB5" w:rsidRPr="00E47067" w14:paraId="665808C6" w14:textId="77777777" w:rsidTr="00E4201E">
        <w:trPr>
          <w:trHeight w:val="404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01EF7D" w14:textId="6B4E21C1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Goal 6: Investments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D5212" w14:textId="2F71D071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25733" w14:textId="3C56451C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E8377D" w14:textId="54A616A4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A588D5" w14:textId="02BF78C2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7F25B9" w14:textId="06886287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71BF2" w14:textId="3938836D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Not applicable</w:t>
            </w:r>
          </w:p>
        </w:tc>
      </w:tr>
      <w:tr w:rsidR="003F5EB5" w:rsidRPr="00E47067" w14:paraId="076BCF35" w14:textId="77777777" w:rsidTr="00E4201E">
        <w:trPr>
          <w:trHeight w:val="55"/>
        </w:trPr>
        <w:tc>
          <w:tcPr>
            <w:tcW w:w="141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55896A" w14:textId="77777777" w:rsidR="003F5EB5" w:rsidRPr="00811E2E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00811E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Summary of quantitative impacts (example RAG)</w:t>
            </w:r>
          </w:p>
          <w:p w14:paraId="1E85A085" w14:textId="77777777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3F5EB5" w:rsidRPr="00E47067" w14:paraId="01DA9AFC" w14:textId="77777777" w:rsidTr="00E4201E">
        <w:trPr>
          <w:trHeight w:val="488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F8E345" w14:textId="4816C7C7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Total emissions reduction/increase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  <w:hideMark/>
          </w:tcPr>
          <w:p w14:paraId="60339EB0" w14:textId="2CFAEA05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5BB0DC" w14:textId="30F09BA8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9CC97A" w14:textId="19904DB5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EA3A31" w14:textId="5001CBC8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C740B7" w14:textId="6FF385E1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AA14C" w14:textId="6C63FADA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XXX T CO</w:t>
            </w: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vertAlign w:val="subscript"/>
                <w:lang w:eastAsia="en-GB"/>
              </w:rPr>
              <w:t>2</w:t>
            </w: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 reduction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/increase</w:t>
            </w: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over YY years due to XXX</w:t>
            </w:r>
          </w:p>
        </w:tc>
      </w:tr>
      <w:tr w:rsidR="003F5EB5" w:rsidRPr="00E47067" w14:paraId="3F1F47F0" w14:textId="77777777" w:rsidTr="00E4201E">
        <w:trPr>
          <w:trHeight w:val="488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7855C4" w14:textId="529B6F9C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Total emissions avoided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7F1E17" w14:textId="30159B99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239AF" w14:textId="47FF13F3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5BECE8" w14:textId="1FAD232D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9C3D33" w14:textId="502B3D47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E49ADB" w14:textId="25DAB505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5886A" w14:textId="525F4DB1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XXX T CO</w:t>
            </w: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vertAlign w:val="subscript"/>
                <w:lang w:eastAsia="en-GB"/>
              </w:rPr>
              <w:t>2</w:t>
            </w: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 avoided over YY years due to XXX</w:t>
            </w:r>
          </w:p>
        </w:tc>
      </w:tr>
      <w:tr w:rsidR="003F5EB5" w:rsidRPr="00E47067" w14:paraId="5A2B70A5" w14:textId="77777777" w:rsidTr="00E4201E">
        <w:trPr>
          <w:trHeight w:val="100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79EBA" w14:textId="2D346714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Carbon costs saved or avoided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  <w:hideMark/>
          </w:tcPr>
          <w:p w14:paraId="5B31058F" w14:textId="4E6333B2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F1D70" w14:textId="4EC30DCD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09070A" w14:textId="2BF55F05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5FCAB3" w14:textId="7F4B0BB8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F00B1E" w14:textId="7D0D87ED" w:rsidR="003F5EB5" w:rsidRPr="00E47067" w:rsidRDefault="003F5EB5" w:rsidP="00487E73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E772C9" w14:textId="0B24997E" w:rsidR="003F5EB5" w:rsidRPr="00E47067" w:rsidRDefault="003F5EB5" w:rsidP="00487E73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£ carbon costs saved or avoided using £ XXX / T CO</w:t>
            </w: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vertAlign w:val="subscript"/>
                <w:lang w:eastAsia="en-GB"/>
              </w:rPr>
              <w:t>2</w:t>
            </w:r>
            <w:r w:rsidRPr="00E470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 carbon price</w:t>
            </w:r>
          </w:p>
        </w:tc>
      </w:tr>
    </w:tbl>
    <w:p w14:paraId="33114EE2" w14:textId="77777777" w:rsidR="00A936C5" w:rsidRDefault="00A936C5" w:rsidP="0036798B">
      <w:pPr>
        <w:spacing w:before="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6B95D3E1" w14:textId="77777777" w:rsidR="001B00AF" w:rsidRDefault="001B00AF" w:rsidP="0036798B">
      <w:pPr>
        <w:spacing w:before="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9B10AEA" w14:textId="07C5108C" w:rsidR="00AB1528" w:rsidRPr="009805C1" w:rsidRDefault="00AB1528" w:rsidP="00AB1528">
      <w:pPr>
        <w:spacing w:line="240" w:lineRule="auto"/>
        <w:jc w:val="both"/>
        <w:rPr>
          <w:rStyle w:val="normaltextrun"/>
          <w:rFonts w:ascii="Calibri" w:eastAsia="Times New Roman" w:hAnsi="Calibri" w:cs="Calibri"/>
          <w:sz w:val="20"/>
          <w:szCs w:val="20"/>
          <w:lang w:eastAsia="en-GB"/>
        </w:rPr>
      </w:pPr>
      <w:r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Please contact the </w:t>
      </w:r>
      <w:hyperlink r:id="rId9" w:history="1">
        <w:r w:rsidRPr="00FA137F">
          <w:rPr>
            <w:rStyle w:val="Hyperlink"/>
            <w:rFonts w:ascii="Calibri" w:hAnsi="Calibri" w:cs="Calibri"/>
            <w:sz w:val="20"/>
            <w:szCs w:val="20"/>
            <w:shd w:val="clear" w:color="auto" w:fill="FFFFFF"/>
          </w:rPr>
          <w:t>Sustainability Deliv</w:t>
        </w:r>
        <w:r w:rsidRPr="00FA137F">
          <w:rPr>
            <w:rStyle w:val="Hyperlink"/>
            <w:rFonts w:ascii="Calibri" w:hAnsi="Calibri" w:cs="Calibri"/>
            <w:sz w:val="20"/>
            <w:szCs w:val="20"/>
            <w:shd w:val="clear" w:color="auto" w:fill="FFFFFF"/>
          </w:rPr>
          <w:t>e</w:t>
        </w:r>
        <w:r w:rsidRPr="00FA137F">
          <w:rPr>
            <w:rStyle w:val="Hyperlink"/>
            <w:rFonts w:ascii="Calibri" w:hAnsi="Calibri" w:cs="Calibri"/>
            <w:sz w:val="20"/>
            <w:szCs w:val="20"/>
            <w:shd w:val="clear" w:color="auto" w:fill="FFFFFF"/>
          </w:rPr>
          <w:t>ry Team</w:t>
        </w:r>
      </w:hyperlink>
      <w:r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 for guidance on </w:t>
      </w:r>
      <w:r w:rsidR="002A4293"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 xml:space="preserve">completing this assessment for </w:t>
      </w:r>
      <w:r>
        <w:rPr>
          <w:rStyle w:val="normaltextrun"/>
          <w:rFonts w:ascii="Calibri" w:hAnsi="Calibri" w:cs="Calibri"/>
          <w:color w:val="44546A"/>
          <w:sz w:val="20"/>
          <w:szCs w:val="20"/>
          <w:shd w:val="clear" w:color="auto" w:fill="FFFFFF"/>
        </w:rPr>
        <w:t>specific projects, or email sustainability@soton.ac.uk.</w:t>
      </w:r>
    </w:p>
    <w:p w14:paraId="34E0A89B" w14:textId="77777777" w:rsidR="00AB1528" w:rsidRPr="00AB1528" w:rsidRDefault="00AB1528" w:rsidP="00AB1528">
      <w:pPr>
        <w:rPr>
          <w:rFonts w:ascii="Calibri" w:eastAsia="Times New Roman" w:hAnsi="Calibri" w:cs="Calibri"/>
          <w:sz w:val="20"/>
          <w:szCs w:val="20"/>
          <w:lang w:eastAsia="en-GB"/>
        </w:rPr>
      </w:pPr>
    </w:p>
    <w:sectPr w:rsidR="00AB1528" w:rsidRPr="00AB1528" w:rsidSect="007B51B8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5D37" w14:textId="77777777" w:rsidR="00D830CD" w:rsidRDefault="00D830CD" w:rsidP="003F5EB5">
      <w:pPr>
        <w:spacing w:before="0" w:after="0" w:line="240" w:lineRule="auto"/>
      </w:pPr>
      <w:r>
        <w:separator/>
      </w:r>
    </w:p>
  </w:endnote>
  <w:endnote w:type="continuationSeparator" w:id="0">
    <w:p w14:paraId="49577D3F" w14:textId="77777777" w:rsidR="00D830CD" w:rsidRDefault="00D830CD" w:rsidP="003F5E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11FA" w14:textId="77777777" w:rsidR="00D830CD" w:rsidRDefault="00D830CD" w:rsidP="003F5EB5">
      <w:pPr>
        <w:spacing w:before="0" w:after="0" w:line="240" w:lineRule="auto"/>
      </w:pPr>
      <w:r>
        <w:separator/>
      </w:r>
    </w:p>
  </w:footnote>
  <w:footnote w:type="continuationSeparator" w:id="0">
    <w:p w14:paraId="4F037645" w14:textId="77777777" w:rsidR="00D830CD" w:rsidRDefault="00D830CD" w:rsidP="003F5EB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CD79" w14:textId="55F22699" w:rsidR="002353C5" w:rsidRDefault="002353C5" w:rsidP="002353C5">
    <w:pPr>
      <w:pStyle w:val="Header"/>
      <w:jc w:val="right"/>
    </w:pPr>
    <w:r w:rsidRPr="002353C5">
      <w:rPr>
        <w:noProof/>
      </w:rPr>
      <w:drawing>
        <wp:inline distT="0" distB="0" distL="0" distR="0" wp14:anchorId="45BF9FC3" wp14:editId="6360D00F">
          <wp:extent cx="2105319" cy="495369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B4B"/>
    <w:multiLevelType w:val="hybridMultilevel"/>
    <w:tmpl w:val="0AFCD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B2077"/>
    <w:multiLevelType w:val="hybridMultilevel"/>
    <w:tmpl w:val="C0C834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510B9"/>
    <w:multiLevelType w:val="hybridMultilevel"/>
    <w:tmpl w:val="85AEE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A72C7"/>
    <w:multiLevelType w:val="hybridMultilevel"/>
    <w:tmpl w:val="FDE4D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0D1381"/>
    <w:multiLevelType w:val="hybridMultilevel"/>
    <w:tmpl w:val="467A152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B47712"/>
    <w:multiLevelType w:val="multilevel"/>
    <w:tmpl w:val="962CB938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754791"/>
    <w:multiLevelType w:val="hybridMultilevel"/>
    <w:tmpl w:val="818C6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32698E"/>
    <w:multiLevelType w:val="multilevel"/>
    <w:tmpl w:val="6EFAE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012E65"/>
    <w:multiLevelType w:val="hybridMultilevel"/>
    <w:tmpl w:val="43DA7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BB0096"/>
    <w:multiLevelType w:val="multilevel"/>
    <w:tmpl w:val="3F0C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6903202">
    <w:abstractNumId w:val="2"/>
  </w:num>
  <w:num w:numId="2" w16cid:durableId="1543588764">
    <w:abstractNumId w:val="5"/>
  </w:num>
  <w:num w:numId="3" w16cid:durableId="1970549748">
    <w:abstractNumId w:val="7"/>
  </w:num>
  <w:num w:numId="4" w16cid:durableId="1722054457">
    <w:abstractNumId w:val="9"/>
  </w:num>
  <w:num w:numId="5" w16cid:durableId="2117673472">
    <w:abstractNumId w:val="0"/>
  </w:num>
  <w:num w:numId="6" w16cid:durableId="1321957908">
    <w:abstractNumId w:val="3"/>
  </w:num>
  <w:num w:numId="7" w16cid:durableId="1306278163">
    <w:abstractNumId w:val="6"/>
  </w:num>
  <w:num w:numId="8" w16cid:durableId="914976240">
    <w:abstractNumId w:val="1"/>
  </w:num>
  <w:num w:numId="9" w16cid:durableId="1663314400">
    <w:abstractNumId w:val="4"/>
  </w:num>
  <w:num w:numId="10" w16cid:durableId="280310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B5"/>
    <w:rsid w:val="00020CA7"/>
    <w:rsid w:val="00096A8A"/>
    <w:rsid w:val="000A7888"/>
    <w:rsid w:val="000B4F33"/>
    <w:rsid w:val="00114A64"/>
    <w:rsid w:val="001A245E"/>
    <w:rsid w:val="001B00AF"/>
    <w:rsid w:val="001B1F12"/>
    <w:rsid w:val="001F12FD"/>
    <w:rsid w:val="00221343"/>
    <w:rsid w:val="00223FC6"/>
    <w:rsid w:val="00226E31"/>
    <w:rsid w:val="002353C5"/>
    <w:rsid w:val="00263957"/>
    <w:rsid w:val="002842BF"/>
    <w:rsid w:val="002A4293"/>
    <w:rsid w:val="002B14F0"/>
    <w:rsid w:val="002E0F29"/>
    <w:rsid w:val="003533E9"/>
    <w:rsid w:val="0036798B"/>
    <w:rsid w:val="00384D59"/>
    <w:rsid w:val="003903B6"/>
    <w:rsid w:val="00390AE5"/>
    <w:rsid w:val="003A2B31"/>
    <w:rsid w:val="003A63A6"/>
    <w:rsid w:val="003A792F"/>
    <w:rsid w:val="003F2827"/>
    <w:rsid w:val="003F384A"/>
    <w:rsid w:val="003F5EB5"/>
    <w:rsid w:val="00487E73"/>
    <w:rsid w:val="004B1F5E"/>
    <w:rsid w:val="004D2DE4"/>
    <w:rsid w:val="004D784C"/>
    <w:rsid w:val="004F65B8"/>
    <w:rsid w:val="0053730A"/>
    <w:rsid w:val="00556B96"/>
    <w:rsid w:val="00582705"/>
    <w:rsid w:val="0059229F"/>
    <w:rsid w:val="00593AA3"/>
    <w:rsid w:val="005D4580"/>
    <w:rsid w:val="006B2039"/>
    <w:rsid w:val="006B6104"/>
    <w:rsid w:val="006C7ED3"/>
    <w:rsid w:val="006D46CF"/>
    <w:rsid w:val="006F0914"/>
    <w:rsid w:val="00710280"/>
    <w:rsid w:val="007234AD"/>
    <w:rsid w:val="00723D06"/>
    <w:rsid w:val="00726E5D"/>
    <w:rsid w:val="007518E9"/>
    <w:rsid w:val="00772A49"/>
    <w:rsid w:val="007A0801"/>
    <w:rsid w:val="007B51B8"/>
    <w:rsid w:val="008E3394"/>
    <w:rsid w:val="009108D3"/>
    <w:rsid w:val="0091615C"/>
    <w:rsid w:val="00960854"/>
    <w:rsid w:val="009805C1"/>
    <w:rsid w:val="00A33331"/>
    <w:rsid w:val="00A671EB"/>
    <w:rsid w:val="00A7222E"/>
    <w:rsid w:val="00A80330"/>
    <w:rsid w:val="00A936C5"/>
    <w:rsid w:val="00AA5AE2"/>
    <w:rsid w:val="00AB1528"/>
    <w:rsid w:val="00AB736C"/>
    <w:rsid w:val="00AF64CB"/>
    <w:rsid w:val="00B162FD"/>
    <w:rsid w:val="00B30C2D"/>
    <w:rsid w:val="00BB1FFE"/>
    <w:rsid w:val="00BC2D86"/>
    <w:rsid w:val="00BC59CC"/>
    <w:rsid w:val="00BD7754"/>
    <w:rsid w:val="00C94F2C"/>
    <w:rsid w:val="00CF1F9B"/>
    <w:rsid w:val="00D017D3"/>
    <w:rsid w:val="00D04594"/>
    <w:rsid w:val="00D14902"/>
    <w:rsid w:val="00D51EB9"/>
    <w:rsid w:val="00D830CD"/>
    <w:rsid w:val="00E168C3"/>
    <w:rsid w:val="00E4201E"/>
    <w:rsid w:val="00E526EA"/>
    <w:rsid w:val="00E716C7"/>
    <w:rsid w:val="00E825A8"/>
    <w:rsid w:val="00E94854"/>
    <w:rsid w:val="00EA612E"/>
    <w:rsid w:val="00EB569F"/>
    <w:rsid w:val="00EC5CAF"/>
    <w:rsid w:val="00EF79C2"/>
    <w:rsid w:val="00F117B4"/>
    <w:rsid w:val="00F15D7A"/>
    <w:rsid w:val="00F16876"/>
    <w:rsid w:val="00F60808"/>
    <w:rsid w:val="00F90683"/>
    <w:rsid w:val="00FA137F"/>
    <w:rsid w:val="00F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644D"/>
  <w15:chartTrackingRefBased/>
  <w15:docId w15:val="{F55B1665-A9CF-4731-8F0D-EF6AE942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B5"/>
    <w:pPr>
      <w:spacing w:before="120" w:after="120" w:line="36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Paragraph">
    <w:name w:val="Indent Paragraph"/>
    <w:basedOn w:val="Normal"/>
    <w:qFormat/>
    <w:rsid w:val="003F5EB5"/>
    <w:pPr>
      <w:ind w:left="851"/>
    </w:pPr>
    <w:rPr>
      <w:color w:val="000000" w:themeColor="text1"/>
    </w:rPr>
  </w:style>
  <w:style w:type="character" w:customStyle="1" w:styleId="normaltextrun">
    <w:name w:val="normaltextrun"/>
    <w:basedOn w:val="DefaultParagraphFont"/>
    <w:rsid w:val="003F5EB5"/>
  </w:style>
  <w:style w:type="paragraph" w:styleId="Header">
    <w:name w:val="header"/>
    <w:basedOn w:val="Normal"/>
    <w:link w:val="HeaderChar"/>
    <w:uiPriority w:val="99"/>
    <w:unhideWhenUsed/>
    <w:rsid w:val="003F5EB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EB5"/>
    <w:rPr>
      <w:rFonts w:eastAsiaTheme="minorEastAsia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F5EB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EB5"/>
    <w:rPr>
      <w:rFonts w:eastAsiaTheme="minorEastAs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AF64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4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3C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0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2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6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ampton.ac.uk/estates/standard-specifications.page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southampton.ac.uk/susdev/our-approach/sustainability-strategy.pa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outhampton.ac.uk/susdev/contact-us.page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3" ma:contentTypeDescription="Create a new document." ma:contentTypeScope="" ma:versionID="42ea30602e8b5068a52a564d24bdedab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94885cbb599acb1dee5aeca2ae8af3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Programme_x0020_Code xmlns="e269b097-0687-4382-95a6-d1187d84b2a1" xsi:nil="true"/>
    <DocumentType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7D7UTFFHD354-1258763940-48138</_dlc_DocId>
    <_dlc_DocIdUrl xmlns="56c7aab3-81b5-44ad-ad72-57c916b76c08">
      <Url>https://sotonac.sharepoint.com/teams/PublicDocuments/_layouts/15/DocIdRedir.aspx?ID=7D7UTFFHD354-1258763940-48138</Url>
      <Description>7D7UTFFHD354-1258763940-48138</Description>
    </_dlc_DocIdUrl>
  </documentManagement>
</p:properties>
</file>

<file path=customXml/itemProps1.xml><?xml version="1.0" encoding="utf-8"?>
<ds:datastoreItem xmlns:ds="http://schemas.openxmlformats.org/officeDocument/2006/customXml" ds:itemID="{A72FC46E-B6EE-4C47-9126-E3714BBCA579}"/>
</file>

<file path=customXml/itemProps2.xml><?xml version="1.0" encoding="utf-8"?>
<ds:datastoreItem xmlns:ds="http://schemas.openxmlformats.org/officeDocument/2006/customXml" ds:itemID="{B969414F-CF7D-4906-B822-83535DDE0893}"/>
</file>

<file path=customXml/itemProps3.xml><?xml version="1.0" encoding="utf-8"?>
<ds:datastoreItem xmlns:ds="http://schemas.openxmlformats.org/officeDocument/2006/customXml" ds:itemID="{05866EB4-5459-4D35-8D62-E27523434783}"/>
</file>

<file path=customXml/itemProps4.xml><?xml version="1.0" encoding="utf-8"?>
<ds:datastoreItem xmlns:ds="http://schemas.openxmlformats.org/officeDocument/2006/customXml" ds:itemID="{0ADD7224-3B3F-45BC-8659-33CB29666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Tewkesbury</dc:creator>
  <cp:keywords/>
  <dc:description/>
  <cp:lastModifiedBy>Adam Tewkesbury</cp:lastModifiedBy>
  <cp:revision>94</cp:revision>
  <dcterms:created xsi:type="dcterms:W3CDTF">2023-11-14T15:50:00Z</dcterms:created>
  <dcterms:modified xsi:type="dcterms:W3CDTF">2023-11-16T18:03:00Z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48701219-e0fd-4189-91a3-0289f7b49251</vt:lpwstr>
  </property>
</Properties>
</file>